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87" w:rsidRDefault="00554D23" w:rsidP="002F238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3.05pt;margin-top:7.1pt;width:269.6pt;height:36.45pt;z-index:-251656192" fillcolor="#860000" strokecolor="#404040 [2429]">
            <v:fill color2="fill darken(91)" rotate="t" focusposition=".5,.5" focussize="" method="linear sigma" focus="100%" type="gradientRadial"/>
            <v:shadow color="#868686"/>
            <v:textpath style="font-family:&quot;AR ESSENCE&quot;;v-text-kern:t" trim="t" fitpath="t" string="cardiac REIMBURSEMENT"/>
          </v:shape>
        </w:pict>
      </w:r>
    </w:p>
    <w:p w:rsidR="00470903" w:rsidRDefault="00470903" w:rsidP="002F2387"/>
    <w:p w:rsidR="002F2387" w:rsidRDefault="001D7C62" w:rsidP="001D7C62">
      <w:pPr>
        <w:jc w:val="center"/>
        <w:rPr>
          <w:sz w:val="28"/>
          <w:szCs w:val="28"/>
        </w:rPr>
      </w:pPr>
      <w:r>
        <w:rPr>
          <w:sz w:val="28"/>
          <w:szCs w:val="28"/>
        </w:rPr>
        <w:t>Susan.bauman@porterhhealth.com</w:t>
      </w:r>
    </w:p>
    <w:p w:rsidR="001D7C62" w:rsidRDefault="001D7C62">
      <w:pPr>
        <w:rPr>
          <w:sz w:val="28"/>
          <w:szCs w:val="28"/>
        </w:rPr>
      </w:pPr>
    </w:p>
    <w:p w:rsidR="003E0D85" w:rsidRDefault="003E0D85" w:rsidP="002F23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 LAW 110-175, SECTION 144- CR/PR RULES</w:t>
      </w:r>
    </w:p>
    <w:p w:rsidR="001D7C62" w:rsidRDefault="002F2387" w:rsidP="002F23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WISCONSIN PHYSICIAN SERVICES (WPS)- </w:t>
      </w:r>
      <w:hyperlink r:id="rId5" w:history="1">
        <w:r w:rsidR="001D7C62" w:rsidRPr="0022162A">
          <w:rPr>
            <w:rStyle w:val="Hyperlink"/>
            <w:sz w:val="28"/>
            <w:szCs w:val="28"/>
          </w:rPr>
          <w:t>www.wpsmedicare.com</w:t>
        </w:r>
      </w:hyperlink>
      <w:r w:rsidR="001D7C62">
        <w:rPr>
          <w:sz w:val="28"/>
          <w:szCs w:val="28"/>
        </w:rPr>
        <w:t xml:space="preserve">  </w:t>
      </w:r>
    </w:p>
    <w:p w:rsidR="002F2387" w:rsidRDefault="001D7C62" w:rsidP="001D7C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="002F2387">
        <w:rPr>
          <w:sz w:val="28"/>
          <w:szCs w:val="28"/>
        </w:rPr>
        <w:t xml:space="preserve">IN’S MEDICARE ADMINISTRATIVE CONTRACTOR (MAC)  </w:t>
      </w:r>
    </w:p>
    <w:p w:rsidR="002F2387" w:rsidRDefault="00554D23" w:rsidP="002F23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D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4.6pt;margin-top:16.25pt;width:466.15pt;height:466.15pt;z-index:-251649024;visibility:visible;mso-wrap-edited:f">
            <v:imagedata r:id="rId6" o:title="" gain="19661f" blacklevel="20972f"/>
          </v:shape>
          <o:OLEObject Type="Embed" ProgID="Word.Picture.8" ShapeID="_x0000_s1031" DrawAspect="Content" ObjectID="_1489472454" r:id="rId7"/>
        </w:pict>
      </w:r>
      <w:r w:rsidRPr="00554D23">
        <w:rPr>
          <w:noProof/>
        </w:rPr>
        <w:pict>
          <v:shape id="_x0000_s1029" type="#_x0000_t136" style="position:absolute;left:0;text-align:left;margin-left:-48.5pt;margin-top:27.35pt;width:74.45pt;height:21.1pt;rotation:270;z-index:-251652096" fillcolor="#7f7f7f [1612]" strokecolor="#860000" strokeweight="1.5pt">
            <v:shadow on="t" color="#900"/>
            <v:textpath style="font-family:&quot;Impact&quot;;v-text-kern:t" trim="t" fitpath="t" string="history"/>
          </v:shape>
        </w:pict>
      </w:r>
      <w:r w:rsidR="002F2387">
        <w:rPr>
          <w:sz w:val="28"/>
          <w:szCs w:val="28"/>
        </w:rPr>
        <w:t>WPS follows o</w:t>
      </w:r>
      <w:r w:rsidR="00E57C61">
        <w:rPr>
          <w:sz w:val="28"/>
          <w:szCs w:val="28"/>
        </w:rPr>
        <w:t>nly the national CMS guidelines (Public Law , no local determination</w:t>
      </w:r>
      <w:r w:rsidR="003E0D85">
        <w:rPr>
          <w:sz w:val="28"/>
          <w:szCs w:val="28"/>
        </w:rPr>
        <w:t>)</w:t>
      </w:r>
      <w:r w:rsidR="00DA11D0">
        <w:rPr>
          <w:sz w:val="28"/>
          <w:szCs w:val="28"/>
        </w:rPr>
        <w:t xml:space="preserve">- forget older information </w:t>
      </w:r>
    </w:p>
    <w:p w:rsidR="00733743" w:rsidRDefault="00733743" w:rsidP="002F23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KX MODIFIER- ATTACH AFTER SESSION 36 FOR ALL CR SESSIONS. FYI…</w:t>
      </w:r>
    </w:p>
    <w:p w:rsidR="007654B0" w:rsidRPr="00733743" w:rsidRDefault="007361DA" w:rsidP="001D7C62">
      <w:pPr>
        <w:pStyle w:val="ListParagraph"/>
        <w:rPr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>CMS has transitioned from a Common Working File (CWF) system to indicate how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many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CR sessions have been used  to date to a system titled, HIPAA Eligibility Transaction System (HETS). Hospitals received MLN Matters Number SE1249 Revised on April 23, 2013 explaining this new tracking system. Programs should consult their business/billing office for details on this new process.</w:t>
      </w:r>
    </w:p>
    <w:p w:rsidR="00733743" w:rsidRPr="001D7C62" w:rsidRDefault="00733743" w:rsidP="002F23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>MODIFIER XE REPLACES MODIFIER 59- USE WHEN 1 EACH CPT 93797 AND 93798 ARE USED IN THE SAME DAY (see MLN Matters # SE 0715)</w:t>
      </w:r>
    </w:p>
    <w:p w:rsidR="001D7C62" w:rsidRPr="001D7C62" w:rsidRDefault="001D7C62" w:rsidP="002F23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>MODIFIER__</w:t>
      </w:r>
      <w:r w:rsidR="00C151CF">
        <w:rPr>
          <w:rFonts w:ascii="Arial" w:hAnsi="Arial" w:cs="Arial"/>
          <w:color w:val="333333"/>
          <w:sz w:val="20"/>
          <w:szCs w:val="20"/>
        </w:rPr>
        <w:t>?</w:t>
      </w:r>
      <w:r>
        <w:rPr>
          <w:rFonts w:ascii="Arial" w:hAnsi="Arial" w:cs="Arial"/>
          <w:color w:val="333333"/>
          <w:sz w:val="20"/>
          <w:szCs w:val="20"/>
        </w:rPr>
        <w:t>_ - DEFINES CR/PR TAKING PLACE in an offsite department  FROM THE HOSPITAL CAMPUS</w:t>
      </w:r>
    </w:p>
    <w:p w:rsidR="001D7C62" w:rsidRPr="00733743" w:rsidRDefault="001D7C62" w:rsidP="001D7C62">
      <w:pPr>
        <w:pStyle w:val="ListParagraph"/>
        <w:rPr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ab/>
        <w:t>VOLUNTARY USE IN 2015, EXPECT</w:t>
      </w:r>
      <w:r w:rsidR="00C151CF">
        <w:rPr>
          <w:rFonts w:ascii="Arial" w:hAnsi="Arial" w:cs="Arial"/>
          <w:color w:val="333333"/>
          <w:sz w:val="20"/>
          <w:szCs w:val="20"/>
        </w:rPr>
        <w:t xml:space="preserve"> to be</w:t>
      </w:r>
      <w:r>
        <w:rPr>
          <w:rFonts w:ascii="Arial" w:hAnsi="Arial" w:cs="Arial"/>
          <w:color w:val="333333"/>
          <w:sz w:val="20"/>
          <w:szCs w:val="20"/>
        </w:rPr>
        <w:t xml:space="preserve"> REQUIRED IN 2016</w:t>
      </w:r>
    </w:p>
    <w:p w:rsidR="00733743" w:rsidRDefault="00733743" w:rsidP="00470903">
      <w:pPr>
        <w:pStyle w:val="ListParagraph"/>
        <w:rPr>
          <w:sz w:val="28"/>
          <w:szCs w:val="28"/>
        </w:rPr>
      </w:pPr>
    </w:p>
    <w:p w:rsidR="00470903" w:rsidRDefault="00470903" w:rsidP="00470903">
      <w:pPr>
        <w:pStyle w:val="ListParagraph"/>
        <w:rPr>
          <w:sz w:val="28"/>
          <w:szCs w:val="28"/>
        </w:rPr>
      </w:pPr>
    </w:p>
    <w:p w:rsidR="001D7C62" w:rsidRDefault="001D7C62" w:rsidP="00470903">
      <w:pPr>
        <w:pStyle w:val="ListParagraph"/>
        <w:rPr>
          <w:sz w:val="28"/>
          <w:szCs w:val="28"/>
        </w:rPr>
      </w:pPr>
    </w:p>
    <w:p w:rsidR="001D7C62" w:rsidRDefault="001D7C62" w:rsidP="00470903">
      <w:pPr>
        <w:pStyle w:val="ListParagraph"/>
        <w:rPr>
          <w:sz w:val="28"/>
          <w:szCs w:val="28"/>
        </w:rPr>
      </w:pPr>
    </w:p>
    <w:p w:rsidR="001D7C62" w:rsidRDefault="001D7C62" w:rsidP="00470903">
      <w:pPr>
        <w:pStyle w:val="ListParagraph"/>
        <w:rPr>
          <w:sz w:val="28"/>
          <w:szCs w:val="28"/>
        </w:rPr>
      </w:pPr>
    </w:p>
    <w:p w:rsidR="001D7C62" w:rsidRDefault="001D7C62" w:rsidP="00470903">
      <w:pPr>
        <w:pStyle w:val="ListParagraph"/>
        <w:rPr>
          <w:sz w:val="28"/>
          <w:szCs w:val="28"/>
        </w:rPr>
      </w:pPr>
    </w:p>
    <w:p w:rsidR="001D7C62" w:rsidRDefault="001D7C62" w:rsidP="00470903">
      <w:pPr>
        <w:pStyle w:val="ListParagraph"/>
        <w:rPr>
          <w:sz w:val="28"/>
          <w:szCs w:val="28"/>
        </w:rPr>
      </w:pPr>
    </w:p>
    <w:p w:rsidR="00DA11D0" w:rsidRDefault="007654B0" w:rsidP="002F23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HF guidelines:</w:t>
      </w:r>
    </w:p>
    <w:p w:rsidR="007654B0" w:rsidRPr="007654B0" w:rsidRDefault="00554D23" w:rsidP="007654B0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0"/>
          <w:szCs w:val="20"/>
        </w:rPr>
      </w:pPr>
      <w:r w:rsidRPr="00554D23">
        <w:rPr>
          <w:noProof/>
        </w:rPr>
        <w:pict>
          <v:shape id="_x0000_s1027" type="#_x0000_t136" style="position:absolute;left:0;text-align:left;margin-left:-83.7pt;margin-top:70.8pt;width:144.85pt;height:21.1pt;rotation:270;z-index:-251654144" fillcolor="#860000" strokecolor="#7f7f7f [1612]" strokeweight="1.5pt">
            <v:shadow on="t" color="#900"/>
            <v:textpath style="font-family:&quot;Impact&quot;;v-text-kern:t" trim="t" fitpath="t" string="CURRENT EVENTS"/>
          </v:shape>
        </w:pict>
      </w:r>
      <w:r w:rsidR="007654B0" w:rsidRPr="007654B0">
        <w:rPr>
          <w:rFonts w:ascii="Verdana" w:hAnsi="Verdana" w:cs="Verdana"/>
          <w:i/>
          <w:sz w:val="20"/>
          <w:szCs w:val="20"/>
        </w:rPr>
        <w:t>The CMS has determined that the evidence is sufficient to expand coverage for cardiac rehabilitation services under 42 C.F.R. § 410.49(b</w:t>
      </w:r>
      <w:proofErr w:type="gramStart"/>
      <w:r w:rsidR="007654B0" w:rsidRPr="007654B0">
        <w:rPr>
          <w:rFonts w:ascii="Verdana" w:hAnsi="Verdana" w:cs="Verdana"/>
          <w:i/>
          <w:sz w:val="20"/>
          <w:szCs w:val="20"/>
        </w:rPr>
        <w:t>)(</w:t>
      </w:r>
      <w:proofErr w:type="gramEnd"/>
      <w:r w:rsidR="007654B0" w:rsidRPr="007654B0">
        <w:rPr>
          <w:rFonts w:ascii="Verdana" w:hAnsi="Verdana" w:cs="Verdana"/>
          <w:i/>
          <w:sz w:val="20"/>
          <w:szCs w:val="20"/>
        </w:rPr>
        <w:t xml:space="preserve">1)(vii) to beneficiaries with </w:t>
      </w:r>
      <w:r w:rsidR="007654B0" w:rsidRPr="007654B0">
        <w:rPr>
          <w:rFonts w:ascii="Verdana" w:hAnsi="Verdana" w:cs="Verdana"/>
          <w:b/>
          <w:i/>
          <w:sz w:val="20"/>
          <w:szCs w:val="20"/>
        </w:rPr>
        <w:t>stable, chronic heart failure</w:t>
      </w:r>
      <w:r w:rsidR="007654B0" w:rsidRPr="007654B0">
        <w:rPr>
          <w:rFonts w:ascii="Verdana" w:hAnsi="Verdana" w:cs="Verdana"/>
          <w:i/>
          <w:sz w:val="20"/>
          <w:szCs w:val="20"/>
        </w:rPr>
        <w:t xml:space="preserve"> defined as patients with </w:t>
      </w:r>
      <w:r w:rsidR="007654B0" w:rsidRPr="007654B0">
        <w:rPr>
          <w:rFonts w:ascii="Verdana" w:hAnsi="Verdana" w:cs="Verdana"/>
          <w:b/>
          <w:i/>
          <w:sz w:val="20"/>
          <w:szCs w:val="20"/>
        </w:rPr>
        <w:t>left ventricular ejection fraction of 35% or less</w:t>
      </w:r>
      <w:r w:rsidR="007654B0" w:rsidRPr="007654B0">
        <w:rPr>
          <w:rFonts w:ascii="Verdana" w:hAnsi="Verdana" w:cs="Verdana"/>
          <w:i/>
          <w:sz w:val="20"/>
          <w:szCs w:val="20"/>
        </w:rPr>
        <w:t xml:space="preserve"> and New York Heart Association </w:t>
      </w:r>
      <w:r w:rsidR="007654B0" w:rsidRPr="007654B0">
        <w:rPr>
          <w:rFonts w:ascii="Verdana" w:hAnsi="Verdana" w:cs="Verdana"/>
          <w:b/>
          <w:i/>
          <w:sz w:val="20"/>
          <w:szCs w:val="20"/>
        </w:rPr>
        <w:t>(NYHA) class II to IV symptoms despite being on optimal heart failure therapy for at least six weeks</w:t>
      </w:r>
      <w:r w:rsidR="007654B0" w:rsidRPr="007654B0">
        <w:rPr>
          <w:rFonts w:ascii="Verdana" w:hAnsi="Verdana" w:cs="Verdana"/>
          <w:i/>
          <w:sz w:val="20"/>
          <w:szCs w:val="20"/>
        </w:rPr>
        <w:t xml:space="preserve">. </w:t>
      </w:r>
      <w:r w:rsidR="007654B0" w:rsidRPr="007654B0">
        <w:rPr>
          <w:rFonts w:ascii="Verdana" w:hAnsi="Verdana" w:cs="Verdana"/>
          <w:b/>
          <w:i/>
          <w:sz w:val="20"/>
          <w:szCs w:val="20"/>
        </w:rPr>
        <w:t>Stable patients are defined as patients who have not had recent (≤ 6 weeks) or planned (≤ 6 months) major cardiovascular hospitalizations or procedures.</w:t>
      </w:r>
    </w:p>
    <w:p w:rsidR="007654B0" w:rsidRDefault="007654B0" w:rsidP="007654B0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654B0" w:rsidRPr="007654B0" w:rsidRDefault="007654B0" w:rsidP="007654B0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0903" w:rsidRDefault="003E0D85" w:rsidP="004709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MEDICARE ADVANTAGE (MA)  HIGH COPAYS</w:t>
      </w:r>
      <w:r w:rsidR="00470903">
        <w:rPr>
          <w:sz w:val="28"/>
          <w:szCs w:val="28"/>
        </w:rPr>
        <w:t xml:space="preserve"> </w:t>
      </w:r>
    </w:p>
    <w:p w:rsidR="003E0D85" w:rsidRPr="00470903" w:rsidRDefault="003E0D85" w:rsidP="0047090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70903">
        <w:rPr>
          <w:sz w:val="28"/>
          <w:szCs w:val="28"/>
        </w:rPr>
        <w:t xml:space="preserve">Please keep data in your programs for MA </w:t>
      </w:r>
      <w:proofErr w:type="spellStart"/>
      <w:r w:rsidRPr="00470903">
        <w:rPr>
          <w:sz w:val="28"/>
          <w:szCs w:val="28"/>
        </w:rPr>
        <w:t>copays</w:t>
      </w:r>
      <w:proofErr w:type="spellEnd"/>
      <w:r w:rsidRPr="00470903">
        <w:rPr>
          <w:sz w:val="28"/>
          <w:szCs w:val="28"/>
        </w:rPr>
        <w:t xml:space="preserve">:  who, how much, numbers of clients that refuse CR d/t high </w:t>
      </w:r>
      <w:proofErr w:type="spellStart"/>
      <w:r w:rsidRPr="00470903">
        <w:rPr>
          <w:sz w:val="28"/>
          <w:szCs w:val="28"/>
        </w:rPr>
        <w:t>copays</w:t>
      </w:r>
      <w:proofErr w:type="spellEnd"/>
    </w:p>
    <w:p w:rsidR="003E0D85" w:rsidRDefault="003E0D85" w:rsidP="002F23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S488- technical correction of PL 110-175 for non-physician supervision for CR/PR</w:t>
      </w:r>
    </w:p>
    <w:p w:rsidR="002F2387" w:rsidRPr="002F2387" w:rsidRDefault="002F2387" w:rsidP="001D7C62">
      <w:pPr>
        <w:tabs>
          <w:tab w:val="left" w:pos="6296"/>
        </w:tabs>
        <w:rPr>
          <w:sz w:val="36"/>
          <w:szCs w:val="36"/>
        </w:rPr>
      </w:pPr>
    </w:p>
    <w:sectPr w:rsidR="002F2387" w:rsidRPr="002F2387" w:rsidSect="002F2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839"/>
    <w:multiLevelType w:val="hybridMultilevel"/>
    <w:tmpl w:val="EDDCC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F1BA5"/>
    <w:multiLevelType w:val="hybridMultilevel"/>
    <w:tmpl w:val="6D34E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339CC"/>
    <w:multiLevelType w:val="hybridMultilevel"/>
    <w:tmpl w:val="474C9FD6"/>
    <w:lvl w:ilvl="0" w:tplc="EF948DC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2387"/>
    <w:rsid w:val="001D7C62"/>
    <w:rsid w:val="002F2387"/>
    <w:rsid w:val="003C08E0"/>
    <w:rsid w:val="003E0D85"/>
    <w:rsid w:val="00470903"/>
    <w:rsid w:val="00554D23"/>
    <w:rsid w:val="00733743"/>
    <w:rsid w:val="007361DA"/>
    <w:rsid w:val="00756057"/>
    <w:rsid w:val="007654B0"/>
    <w:rsid w:val="00820EC9"/>
    <w:rsid w:val="00B8467B"/>
    <w:rsid w:val="00C151CF"/>
    <w:rsid w:val="00DA11D0"/>
    <w:rsid w:val="00E57C61"/>
    <w:rsid w:val="00FB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38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361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psmedicar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2015-03-27T22:34:00Z</dcterms:created>
  <dcterms:modified xsi:type="dcterms:W3CDTF">2015-04-02T14:34:00Z</dcterms:modified>
</cp:coreProperties>
</file>